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C0" w:rsidRPr="00222BAB" w:rsidRDefault="00E40D75" w:rsidP="00FF0C23">
      <w:pPr>
        <w:autoSpaceDE w:val="0"/>
        <w:autoSpaceDN w:val="0"/>
        <w:adjustRightInd w:val="0"/>
        <w:spacing w:line="240" w:lineRule="auto"/>
        <w:rPr>
          <w:sz w:val="20"/>
        </w:rPr>
      </w:pPr>
      <w:bookmarkStart w:id="0" w:name="_GoBack"/>
      <w:bookmarkEnd w:id="0"/>
      <w:r w:rsidRPr="00222BAB">
        <w:rPr>
          <w:rFonts w:ascii="Cambria" w:hAnsi="Cambria" w:cs="Cambria"/>
          <w:szCs w:val="24"/>
        </w:rPr>
        <w:t xml:space="preserve">The key to successful classroom management is prevention of problems before they occur, not knowing how to deal with problems after they have begun. Clarifying specific expected behaviors for the classroom is essential, and the same behaviors that reduce classroom disruptions are clearly associated within creased student learning (Brophy&amp; Evertson, 1976). </w:t>
      </w:r>
    </w:p>
    <w:p w:rsidR="00F3382F" w:rsidRPr="00350F84" w:rsidRDefault="00F3382F">
      <w:pPr>
        <w:rPr>
          <w:rFonts w:asciiTheme="majorHAnsi" w:hAnsiTheme="majorHAnsi"/>
          <w:b/>
          <w:sz w:val="24"/>
        </w:rPr>
      </w:pPr>
      <w:r w:rsidRPr="00350F84">
        <w:rPr>
          <w:rFonts w:asciiTheme="majorHAnsi" w:hAnsiTheme="majorHAnsi"/>
          <w:b/>
          <w:sz w:val="24"/>
        </w:rPr>
        <w:t>Why Focus on Classroom Expectations &amp; Rules?</w:t>
      </w:r>
    </w:p>
    <w:p w:rsidR="00BD53DF" w:rsidRPr="00350F84" w:rsidRDefault="00222BAB" w:rsidP="00F3382F">
      <w:pPr>
        <w:numPr>
          <w:ilvl w:val="0"/>
          <w:numId w:val="1"/>
        </w:numPr>
        <w:rPr>
          <w:rFonts w:asciiTheme="majorHAnsi" w:hAnsiTheme="majorHAnsi"/>
        </w:rPr>
      </w:pPr>
      <w:r w:rsidRPr="00350F84">
        <w:rPr>
          <w:rFonts w:asciiTheme="majorHAnsi" w:hAnsiTheme="majorHAnsi"/>
          <w:b/>
        </w:rPr>
        <w:t>Create a</w:t>
      </w:r>
      <w:r w:rsidRPr="00350F84">
        <w:rPr>
          <w:rFonts w:asciiTheme="majorHAnsi" w:hAnsiTheme="majorHAnsi"/>
        </w:rPr>
        <w:t xml:space="preserve"> </w:t>
      </w:r>
      <w:r w:rsidR="00F3382F" w:rsidRPr="00350F84">
        <w:rPr>
          <w:rFonts w:asciiTheme="majorHAnsi" w:hAnsiTheme="majorHAnsi"/>
          <w:b/>
        </w:rPr>
        <w:t>V</w:t>
      </w:r>
      <w:r w:rsidRPr="00350F84">
        <w:rPr>
          <w:rFonts w:asciiTheme="majorHAnsi" w:hAnsiTheme="majorHAnsi"/>
          <w:b/>
        </w:rPr>
        <w:t>ision</w:t>
      </w:r>
      <w:r w:rsidRPr="00350F84">
        <w:rPr>
          <w:rFonts w:asciiTheme="majorHAnsi" w:hAnsiTheme="majorHAnsi"/>
        </w:rPr>
        <w:t xml:space="preserve"> of a successful student—classroom expectations define what teachers’ expect for a successful student.</w:t>
      </w:r>
    </w:p>
    <w:p w:rsidR="00BD53DF" w:rsidRPr="00350F84" w:rsidRDefault="00222BAB" w:rsidP="00F3382F">
      <w:pPr>
        <w:numPr>
          <w:ilvl w:val="0"/>
          <w:numId w:val="1"/>
        </w:numPr>
        <w:rPr>
          <w:rFonts w:asciiTheme="majorHAnsi" w:hAnsiTheme="majorHAnsi"/>
        </w:rPr>
      </w:pPr>
      <w:r w:rsidRPr="00350F84">
        <w:rPr>
          <w:rFonts w:asciiTheme="majorHAnsi" w:hAnsiTheme="majorHAnsi"/>
        </w:rPr>
        <w:t xml:space="preserve">Allow us to </w:t>
      </w:r>
      <w:r w:rsidR="00F3382F" w:rsidRPr="00350F84">
        <w:rPr>
          <w:rFonts w:asciiTheme="majorHAnsi" w:hAnsiTheme="majorHAnsi"/>
        </w:rPr>
        <w:t>P</w:t>
      </w:r>
      <w:r w:rsidRPr="00350F84">
        <w:rPr>
          <w:rFonts w:asciiTheme="majorHAnsi" w:hAnsiTheme="majorHAnsi"/>
          <w:b/>
        </w:rPr>
        <w:t xml:space="preserve">roactively </w:t>
      </w:r>
      <w:r w:rsidR="00F3382F" w:rsidRPr="00350F84">
        <w:rPr>
          <w:rFonts w:asciiTheme="majorHAnsi" w:hAnsiTheme="majorHAnsi"/>
          <w:b/>
        </w:rPr>
        <w:t>T</w:t>
      </w:r>
      <w:r w:rsidRPr="00350F84">
        <w:rPr>
          <w:rFonts w:asciiTheme="majorHAnsi" w:hAnsiTheme="majorHAnsi"/>
          <w:b/>
        </w:rPr>
        <w:t xml:space="preserve">each </w:t>
      </w:r>
      <w:r w:rsidR="00F3382F" w:rsidRPr="00350F84">
        <w:rPr>
          <w:rFonts w:asciiTheme="majorHAnsi" w:hAnsiTheme="majorHAnsi"/>
          <w:b/>
        </w:rPr>
        <w:t>B</w:t>
      </w:r>
      <w:r w:rsidRPr="00350F84">
        <w:rPr>
          <w:rFonts w:asciiTheme="majorHAnsi" w:hAnsiTheme="majorHAnsi"/>
          <w:b/>
        </w:rPr>
        <w:t>ehaviors</w:t>
      </w:r>
      <w:r w:rsidRPr="00350F84">
        <w:rPr>
          <w:rFonts w:asciiTheme="majorHAnsi" w:hAnsiTheme="majorHAnsi"/>
        </w:rPr>
        <w:t xml:space="preserve"> for success—once we define our expectations then we can be proactive and teach the behaviors we expect.</w:t>
      </w:r>
    </w:p>
    <w:p w:rsidR="00BD53DF" w:rsidRPr="00350F84" w:rsidRDefault="00222BAB" w:rsidP="00F3382F">
      <w:pPr>
        <w:numPr>
          <w:ilvl w:val="0"/>
          <w:numId w:val="1"/>
        </w:numPr>
        <w:rPr>
          <w:rFonts w:asciiTheme="majorHAnsi" w:hAnsiTheme="majorHAnsi"/>
        </w:rPr>
      </w:pPr>
      <w:r w:rsidRPr="00350F84">
        <w:rPr>
          <w:rFonts w:asciiTheme="majorHAnsi" w:hAnsiTheme="majorHAnsi"/>
          <w:b/>
        </w:rPr>
        <w:t xml:space="preserve">Communicate a </w:t>
      </w:r>
      <w:r w:rsidR="00F3382F" w:rsidRPr="00350F84">
        <w:rPr>
          <w:rFonts w:asciiTheme="majorHAnsi" w:hAnsiTheme="majorHAnsi"/>
          <w:b/>
        </w:rPr>
        <w:t>P</w:t>
      </w:r>
      <w:r w:rsidRPr="00350F84">
        <w:rPr>
          <w:rFonts w:asciiTheme="majorHAnsi" w:hAnsiTheme="majorHAnsi"/>
          <w:b/>
        </w:rPr>
        <w:t xml:space="preserve">ositive </w:t>
      </w:r>
      <w:r w:rsidR="00F3382F" w:rsidRPr="00350F84">
        <w:rPr>
          <w:rFonts w:asciiTheme="majorHAnsi" w:hAnsiTheme="majorHAnsi"/>
          <w:b/>
        </w:rPr>
        <w:t>M</w:t>
      </w:r>
      <w:r w:rsidRPr="00350F84">
        <w:rPr>
          <w:rFonts w:asciiTheme="majorHAnsi" w:hAnsiTheme="majorHAnsi"/>
          <w:b/>
        </w:rPr>
        <w:t>essage</w:t>
      </w:r>
      <w:r w:rsidRPr="00350F84">
        <w:rPr>
          <w:rFonts w:asciiTheme="majorHAnsi" w:hAnsiTheme="majorHAnsi"/>
        </w:rPr>
        <w:t xml:space="preserve"> to students and parents about success at school—when classroom expectations are posted in the classroom, they send the message to students and parents about the positive behavior you expect.</w:t>
      </w:r>
    </w:p>
    <w:p w:rsidR="00BD53DF" w:rsidRPr="00350F84" w:rsidRDefault="00F3382F" w:rsidP="00F3382F">
      <w:pPr>
        <w:numPr>
          <w:ilvl w:val="0"/>
          <w:numId w:val="1"/>
        </w:numPr>
        <w:rPr>
          <w:rFonts w:asciiTheme="majorHAnsi" w:hAnsiTheme="majorHAnsi"/>
        </w:rPr>
      </w:pPr>
      <w:r w:rsidRPr="00350F84">
        <w:rPr>
          <w:rFonts w:asciiTheme="majorHAnsi" w:hAnsiTheme="majorHAnsi"/>
          <w:b/>
        </w:rPr>
        <w:t>Provide a F</w:t>
      </w:r>
      <w:r w:rsidR="00222BAB" w:rsidRPr="00350F84">
        <w:rPr>
          <w:rFonts w:asciiTheme="majorHAnsi" w:hAnsiTheme="majorHAnsi"/>
          <w:b/>
        </w:rPr>
        <w:t>ramework</w:t>
      </w:r>
      <w:r w:rsidR="00222BAB" w:rsidRPr="00350F84">
        <w:rPr>
          <w:rFonts w:asciiTheme="majorHAnsi" w:hAnsiTheme="majorHAnsi"/>
        </w:rPr>
        <w:t xml:space="preserve"> to guide teacher decisions about discipline—classroom expectations give you the language to use when giving students positive feedback when they follow expectations and also the language to use when correcting students. Expectations can help take away the personal feelings we often have about behavior by guiding teachers with the language to respond to misbehavior. </w:t>
      </w:r>
    </w:p>
    <w:p w:rsidR="00350F84" w:rsidRPr="00222BAB" w:rsidRDefault="00222BAB" w:rsidP="00FF0C23">
      <w:pPr>
        <w:numPr>
          <w:ilvl w:val="0"/>
          <w:numId w:val="1"/>
        </w:numPr>
        <w:rPr>
          <w:rFonts w:asciiTheme="majorHAnsi" w:hAnsiTheme="majorHAnsi"/>
          <w:b/>
        </w:rPr>
      </w:pPr>
      <w:r w:rsidRPr="00222BAB">
        <w:rPr>
          <w:rFonts w:asciiTheme="majorHAnsi" w:hAnsiTheme="majorHAnsi"/>
          <w:b/>
        </w:rPr>
        <w:t xml:space="preserve">Validate and </w:t>
      </w:r>
      <w:r w:rsidR="00F3382F" w:rsidRPr="00222BAB">
        <w:rPr>
          <w:rFonts w:asciiTheme="majorHAnsi" w:hAnsiTheme="majorHAnsi"/>
          <w:b/>
        </w:rPr>
        <w:t>S</w:t>
      </w:r>
      <w:r w:rsidRPr="00222BAB">
        <w:rPr>
          <w:rFonts w:asciiTheme="majorHAnsi" w:hAnsiTheme="majorHAnsi"/>
          <w:b/>
        </w:rPr>
        <w:t>upport</w:t>
      </w:r>
      <w:r w:rsidRPr="00222BAB">
        <w:rPr>
          <w:rFonts w:asciiTheme="majorHAnsi" w:hAnsiTheme="majorHAnsi"/>
        </w:rPr>
        <w:t xml:space="preserve"> individual teachers’ procedures and requests—again expectations give the language which support procedures and requests for students to complete a task. </w:t>
      </w:r>
    </w:p>
    <w:p w:rsidR="00FF0C23" w:rsidRPr="00350F84" w:rsidRDefault="00FF0C23" w:rsidP="00FF0C23">
      <w:pPr>
        <w:rPr>
          <w:rFonts w:asciiTheme="majorHAnsi" w:hAnsiTheme="majorHAnsi"/>
          <w:b/>
          <w:sz w:val="24"/>
        </w:rPr>
      </w:pPr>
      <w:r w:rsidRPr="00350F84">
        <w:rPr>
          <w:rFonts w:asciiTheme="majorHAnsi" w:hAnsiTheme="majorHAnsi"/>
          <w:b/>
          <w:sz w:val="24"/>
        </w:rPr>
        <w:t>Understand the Terminology</w:t>
      </w:r>
      <w:r w:rsidR="00350F84" w:rsidRPr="00350F84">
        <w:rPr>
          <w:rFonts w:asciiTheme="majorHAnsi" w:hAnsiTheme="majorHAnsi"/>
          <w:b/>
          <w:sz w:val="24"/>
        </w:rPr>
        <w:t>:</w:t>
      </w:r>
    </w:p>
    <w:tbl>
      <w:tblPr>
        <w:tblStyle w:val="TableGrid"/>
        <w:tblW w:w="0" w:type="auto"/>
        <w:tblLook w:val="04A0" w:firstRow="1" w:lastRow="0" w:firstColumn="1" w:lastColumn="0" w:noHBand="0" w:noVBand="1"/>
      </w:tblPr>
      <w:tblGrid>
        <w:gridCol w:w="5508"/>
        <w:gridCol w:w="5508"/>
      </w:tblGrid>
      <w:tr w:rsidR="00FF0C23" w:rsidRPr="00350F84" w:rsidTr="00FF0C23">
        <w:tc>
          <w:tcPr>
            <w:tcW w:w="5508" w:type="dxa"/>
          </w:tcPr>
          <w:p w:rsidR="00FF0C23" w:rsidRPr="00350F84" w:rsidRDefault="00FF0C23" w:rsidP="00222BAB">
            <w:pPr>
              <w:rPr>
                <w:rFonts w:asciiTheme="majorHAnsi" w:hAnsiTheme="majorHAnsi"/>
                <w:b/>
                <w:u w:val="single"/>
              </w:rPr>
            </w:pPr>
            <w:r w:rsidRPr="00350F84">
              <w:rPr>
                <w:rFonts w:asciiTheme="majorHAnsi" w:hAnsiTheme="majorHAnsi"/>
                <w:b/>
                <w:u w:val="single"/>
              </w:rPr>
              <w:t>Expectations</w:t>
            </w:r>
          </w:p>
        </w:tc>
        <w:tc>
          <w:tcPr>
            <w:tcW w:w="5508" w:type="dxa"/>
          </w:tcPr>
          <w:p w:rsidR="00FF0C23" w:rsidRPr="00350F84" w:rsidRDefault="00FF0C23" w:rsidP="00222BAB">
            <w:pPr>
              <w:rPr>
                <w:rFonts w:asciiTheme="majorHAnsi" w:hAnsiTheme="majorHAnsi"/>
                <w:b/>
                <w:u w:val="single"/>
              </w:rPr>
            </w:pPr>
            <w:r w:rsidRPr="00350F84">
              <w:rPr>
                <w:rFonts w:asciiTheme="majorHAnsi" w:hAnsiTheme="majorHAnsi"/>
                <w:b/>
                <w:u w:val="single"/>
              </w:rPr>
              <w:t>Rules/Specific Behaviors</w:t>
            </w:r>
          </w:p>
        </w:tc>
      </w:tr>
      <w:tr w:rsidR="00FF0C23" w:rsidRPr="00350F84" w:rsidTr="00FF0C23">
        <w:tc>
          <w:tcPr>
            <w:tcW w:w="5508" w:type="dxa"/>
          </w:tcPr>
          <w:p w:rsidR="00FF0C23" w:rsidRPr="00350F84" w:rsidRDefault="00FF0C23" w:rsidP="00FF0C23">
            <w:pPr>
              <w:rPr>
                <w:rFonts w:asciiTheme="majorHAnsi" w:hAnsiTheme="majorHAnsi"/>
              </w:rPr>
            </w:pPr>
            <w:r w:rsidRPr="00350F84">
              <w:rPr>
                <w:rFonts w:asciiTheme="majorHAnsi" w:hAnsiTheme="majorHAnsi"/>
              </w:rPr>
              <w:t>Broadly stated and are values, character traits that students strive to meet.</w:t>
            </w:r>
          </w:p>
        </w:tc>
        <w:tc>
          <w:tcPr>
            <w:tcW w:w="5508" w:type="dxa"/>
          </w:tcPr>
          <w:p w:rsidR="00FF0C23" w:rsidRPr="00350F84" w:rsidRDefault="00FF0C23" w:rsidP="00FF0C23">
            <w:pPr>
              <w:rPr>
                <w:rFonts w:asciiTheme="majorHAnsi" w:hAnsiTheme="majorHAnsi"/>
              </w:rPr>
            </w:pPr>
            <w:r w:rsidRPr="00350F84">
              <w:rPr>
                <w:rFonts w:asciiTheme="majorHAnsi" w:hAnsiTheme="majorHAnsi"/>
              </w:rPr>
              <w:t>Rules describe specific behaviors:</w:t>
            </w:r>
          </w:p>
          <w:p w:rsidR="00FF0C23" w:rsidRPr="00350F84" w:rsidRDefault="00FF0C23" w:rsidP="00FF0C23">
            <w:pPr>
              <w:pStyle w:val="ListParagraph"/>
              <w:numPr>
                <w:ilvl w:val="0"/>
                <w:numId w:val="2"/>
              </w:numPr>
              <w:rPr>
                <w:rFonts w:asciiTheme="majorHAnsi" w:hAnsiTheme="majorHAnsi"/>
              </w:rPr>
            </w:pPr>
            <w:r w:rsidRPr="00350F84">
              <w:rPr>
                <w:rFonts w:asciiTheme="majorHAnsi" w:hAnsiTheme="majorHAnsi"/>
              </w:rPr>
              <w:t>Observable</w:t>
            </w:r>
          </w:p>
          <w:p w:rsidR="00FF0C23" w:rsidRPr="00350F84" w:rsidRDefault="00FF0C23" w:rsidP="00FF0C23">
            <w:pPr>
              <w:pStyle w:val="ListParagraph"/>
              <w:numPr>
                <w:ilvl w:val="0"/>
                <w:numId w:val="2"/>
              </w:numPr>
              <w:rPr>
                <w:rFonts w:asciiTheme="majorHAnsi" w:hAnsiTheme="majorHAnsi"/>
              </w:rPr>
            </w:pPr>
            <w:r w:rsidRPr="00350F84">
              <w:rPr>
                <w:rFonts w:asciiTheme="majorHAnsi" w:hAnsiTheme="majorHAnsi"/>
              </w:rPr>
              <w:t>Measureable</w:t>
            </w:r>
          </w:p>
        </w:tc>
      </w:tr>
      <w:tr w:rsidR="00FF0C23" w:rsidRPr="00350F84" w:rsidTr="00FF0C23">
        <w:tc>
          <w:tcPr>
            <w:tcW w:w="5508" w:type="dxa"/>
          </w:tcPr>
          <w:p w:rsidR="00FF0C23" w:rsidRPr="00350F84" w:rsidRDefault="00FF0C23" w:rsidP="00FF0C23">
            <w:pPr>
              <w:rPr>
                <w:rFonts w:asciiTheme="majorHAnsi" w:hAnsiTheme="majorHAnsi"/>
              </w:rPr>
            </w:pPr>
            <w:r w:rsidRPr="00350F84">
              <w:rPr>
                <w:rFonts w:asciiTheme="majorHAnsi" w:hAnsiTheme="majorHAnsi"/>
              </w:rPr>
              <w:t>3-5 positively stated ideals that can apply to all areas of life</w:t>
            </w:r>
          </w:p>
        </w:tc>
        <w:tc>
          <w:tcPr>
            <w:tcW w:w="5508" w:type="dxa"/>
          </w:tcPr>
          <w:p w:rsidR="00FF0C23" w:rsidRPr="00350F84" w:rsidRDefault="00FF0C23" w:rsidP="00FF0C23">
            <w:pPr>
              <w:rPr>
                <w:rFonts w:asciiTheme="majorHAnsi" w:hAnsiTheme="majorHAnsi"/>
              </w:rPr>
            </w:pPr>
            <w:r w:rsidRPr="00350F84">
              <w:rPr>
                <w:rFonts w:asciiTheme="majorHAnsi" w:hAnsiTheme="majorHAnsi"/>
              </w:rPr>
              <w:t>Rules apply to limited settings, i.e., school environment</w:t>
            </w:r>
          </w:p>
        </w:tc>
      </w:tr>
      <w:tr w:rsidR="00FF0C23" w:rsidRPr="00350F84" w:rsidTr="00FF0C23">
        <w:tc>
          <w:tcPr>
            <w:tcW w:w="5508" w:type="dxa"/>
          </w:tcPr>
          <w:p w:rsidR="00FF0C23" w:rsidRPr="00350F84" w:rsidRDefault="00FF0C23" w:rsidP="00FF0C23">
            <w:pPr>
              <w:rPr>
                <w:rFonts w:asciiTheme="majorHAnsi" w:hAnsiTheme="majorHAnsi"/>
              </w:rPr>
            </w:pPr>
            <w:r w:rsidRPr="00350F84">
              <w:rPr>
                <w:rFonts w:asciiTheme="majorHAnsi" w:hAnsiTheme="majorHAnsi"/>
              </w:rPr>
              <w:t>Consistent with school’s mission statement</w:t>
            </w:r>
          </w:p>
        </w:tc>
        <w:tc>
          <w:tcPr>
            <w:tcW w:w="5508" w:type="dxa"/>
          </w:tcPr>
          <w:p w:rsidR="00FF0C23" w:rsidRPr="00350F84" w:rsidRDefault="00FF0C23" w:rsidP="00FF0C23">
            <w:pPr>
              <w:rPr>
                <w:rFonts w:asciiTheme="majorHAnsi" w:hAnsiTheme="majorHAnsi"/>
              </w:rPr>
            </w:pPr>
            <w:r w:rsidRPr="00350F84">
              <w:rPr>
                <w:rFonts w:asciiTheme="majorHAnsi" w:hAnsiTheme="majorHAnsi"/>
              </w:rPr>
              <w:t>Rules clarify behaviors for specific settings and look different in different settings.</w:t>
            </w:r>
          </w:p>
        </w:tc>
      </w:tr>
      <w:tr w:rsidR="00FF0C23" w:rsidRPr="00350F84" w:rsidTr="00FF0C23">
        <w:tc>
          <w:tcPr>
            <w:tcW w:w="5508" w:type="dxa"/>
          </w:tcPr>
          <w:p w:rsidR="00FF0C23" w:rsidRPr="00350F84" w:rsidRDefault="00FF0C23" w:rsidP="00FF0C23">
            <w:pPr>
              <w:rPr>
                <w:rFonts w:asciiTheme="majorHAnsi" w:hAnsiTheme="majorHAnsi"/>
              </w:rPr>
            </w:pPr>
            <w:r w:rsidRPr="00350F84">
              <w:rPr>
                <w:rFonts w:asciiTheme="majorHAnsi" w:hAnsiTheme="majorHAnsi"/>
              </w:rPr>
              <w:t>Expected of all faculty and students</w:t>
            </w:r>
          </w:p>
        </w:tc>
        <w:tc>
          <w:tcPr>
            <w:tcW w:w="5508" w:type="dxa"/>
          </w:tcPr>
          <w:p w:rsidR="00FF0C23" w:rsidRPr="00350F84" w:rsidRDefault="00FF0C23" w:rsidP="00FF0C23">
            <w:pPr>
              <w:rPr>
                <w:rFonts w:asciiTheme="majorHAnsi" w:hAnsiTheme="majorHAnsi"/>
              </w:rPr>
            </w:pPr>
            <w:r w:rsidRPr="00350F84">
              <w:rPr>
                <w:rFonts w:asciiTheme="majorHAnsi" w:hAnsiTheme="majorHAnsi"/>
              </w:rPr>
              <w:t>Rules define what adults want students to do</w:t>
            </w:r>
          </w:p>
        </w:tc>
      </w:tr>
    </w:tbl>
    <w:p w:rsidR="00350F84" w:rsidRPr="00350F84" w:rsidRDefault="00350F84" w:rsidP="00222BAB">
      <w:pPr>
        <w:spacing w:after="0"/>
        <w:rPr>
          <w:rFonts w:asciiTheme="majorHAnsi" w:hAnsiTheme="majorHAnsi"/>
          <w:b/>
        </w:rPr>
      </w:pPr>
    </w:p>
    <w:p w:rsidR="00D97A75" w:rsidRPr="00D97A75" w:rsidRDefault="00D97A75" w:rsidP="00D97A75">
      <w:pPr>
        <w:rPr>
          <w:rFonts w:asciiTheme="majorHAnsi" w:hAnsiTheme="majorHAnsi"/>
          <w:b/>
          <w:sz w:val="24"/>
        </w:rPr>
      </w:pPr>
      <w:r w:rsidRPr="00D97A75">
        <w:rPr>
          <w:rFonts w:asciiTheme="majorHAnsi" w:hAnsiTheme="majorHAnsi"/>
          <w:b/>
          <w:sz w:val="24"/>
        </w:rPr>
        <w:t xml:space="preserve">Know the Steps to </w:t>
      </w:r>
      <w:r w:rsidR="00222BAB">
        <w:rPr>
          <w:rFonts w:asciiTheme="majorHAnsi" w:hAnsiTheme="majorHAnsi"/>
          <w:b/>
          <w:sz w:val="24"/>
        </w:rPr>
        <w:t xml:space="preserve">Implementing </w:t>
      </w:r>
      <w:r w:rsidRPr="00D97A75">
        <w:rPr>
          <w:rFonts w:asciiTheme="majorHAnsi" w:hAnsiTheme="majorHAnsi"/>
          <w:b/>
          <w:sz w:val="24"/>
        </w:rPr>
        <w:t>Effective School Rules:</w:t>
      </w:r>
    </w:p>
    <w:p w:rsidR="00222BAB" w:rsidRDefault="00D97A75" w:rsidP="00222BAB">
      <w:pPr>
        <w:pStyle w:val="ListParagraph"/>
        <w:numPr>
          <w:ilvl w:val="0"/>
          <w:numId w:val="4"/>
        </w:numPr>
        <w:spacing w:after="0"/>
        <w:rPr>
          <w:rFonts w:asciiTheme="majorHAnsi" w:hAnsiTheme="majorHAnsi"/>
          <w:b/>
        </w:rPr>
      </w:pPr>
      <w:r>
        <w:rPr>
          <w:rFonts w:asciiTheme="majorHAnsi" w:hAnsiTheme="majorHAnsi"/>
          <w:b/>
        </w:rPr>
        <w:t xml:space="preserve">Identify/Revise and Define: </w:t>
      </w:r>
    </w:p>
    <w:p w:rsidR="00222BAB" w:rsidRPr="00222BAB" w:rsidRDefault="00D97A75" w:rsidP="00222BAB">
      <w:pPr>
        <w:pStyle w:val="ListParagraph"/>
        <w:numPr>
          <w:ilvl w:val="1"/>
          <w:numId w:val="4"/>
        </w:numPr>
        <w:spacing w:after="0"/>
        <w:rPr>
          <w:rFonts w:asciiTheme="majorHAnsi" w:hAnsiTheme="majorHAnsi"/>
          <w:b/>
        </w:rPr>
      </w:pPr>
      <w:r w:rsidRPr="00222BAB">
        <w:rPr>
          <w:rFonts w:asciiTheme="majorHAnsi" w:hAnsiTheme="majorHAnsi"/>
        </w:rPr>
        <w:t>Use OMPUA Guidelines</w:t>
      </w:r>
    </w:p>
    <w:p w:rsidR="00222BAB" w:rsidRDefault="00D97A75" w:rsidP="00222BAB">
      <w:pPr>
        <w:pStyle w:val="ListParagraph"/>
        <w:numPr>
          <w:ilvl w:val="0"/>
          <w:numId w:val="4"/>
        </w:numPr>
        <w:spacing w:before="240" w:after="240"/>
        <w:rPr>
          <w:rFonts w:asciiTheme="majorHAnsi" w:hAnsiTheme="majorHAnsi"/>
          <w:b/>
        </w:rPr>
      </w:pPr>
      <w:r>
        <w:rPr>
          <w:rFonts w:asciiTheme="majorHAnsi" w:hAnsiTheme="majorHAnsi"/>
          <w:b/>
        </w:rPr>
        <w:t xml:space="preserve">Teach: </w:t>
      </w:r>
    </w:p>
    <w:p w:rsidR="00D97A75" w:rsidRPr="00222BAB" w:rsidRDefault="00D97A75" w:rsidP="00222BAB">
      <w:pPr>
        <w:pStyle w:val="ListParagraph"/>
        <w:numPr>
          <w:ilvl w:val="1"/>
          <w:numId w:val="4"/>
        </w:numPr>
        <w:spacing w:before="240" w:after="240"/>
        <w:rPr>
          <w:rFonts w:asciiTheme="majorHAnsi" w:hAnsiTheme="majorHAnsi"/>
          <w:b/>
        </w:rPr>
      </w:pPr>
      <w:r w:rsidRPr="00D97A75">
        <w:rPr>
          <w:rFonts w:asciiTheme="majorHAnsi" w:hAnsiTheme="majorHAnsi"/>
        </w:rPr>
        <w:t xml:space="preserve">Use Tell-Show-Do </w:t>
      </w:r>
      <w:r w:rsidR="00222BAB">
        <w:rPr>
          <w:rFonts w:asciiTheme="majorHAnsi" w:hAnsiTheme="majorHAnsi"/>
        </w:rPr>
        <w:t>L</w:t>
      </w:r>
      <w:r w:rsidRPr="00D97A75">
        <w:rPr>
          <w:rFonts w:asciiTheme="majorHAnsi" w:hAnsiTheme="majorHAnsi"/>
        </w:rPr>
        <w:t>essons</w:t>
      </w:r>
    </w:p>
    <w:p w:rsidR="00222BAB" w:rsidRDefault="00D97A75" w:rsidP="00222BAB">
      <w:pPr>
        <w:pStyle w:val="ListParagraph"/>
        <w:numPr>
          <w:ilvl w:val="0"/>
          <w:numId w:val="4"/>
        </w:numPr>
        <w:spacing w:after="240"/>
        <w:rPr>
          <w:rFonts w:asciiTheme="majorHAnsi" w:hAnsiTheme="majorHAnsi"/>
          <w:b/>
        </w:rPr>
      </w:pPr>
      <w:r>
        <w:rPr>
          <w:rFonts w:asciiTheme="majorHAnsi" w:hAnsiTheme="majorHAnsi"/>
          <w:b/>
        </w:rPr>
        <w:t xml:space="preserve">Practice: </w:t>
      </w:r>
    </w:p>
    <w:p w:rsidR="00222BAB" w:rsidRPr="00222BAB" w:rsidRDefault="00222BAB" w:rsidP="00222BAB">
      <w:pPr>
        <w:pStyle w:val="ListParagraph"/>
        <w:numPr>
          <w:ilvl w:val="1"/>
          <w:numId w:val="4"/>
        </w:numPr>
        <w:spacing w:after="240"/>
        <w:rPr>
          <w:rFonts w:asciiTheme="majorHAnsi" w:hAnsiTheme="majorHAnsi"/>
          <w:b/>
        </w:rPr>
      </w:pPr>
      <w:r>
        <w:rPr>
          <w:rFonts w:asciiTheme="majorHAnsi" w:hAnsiTheme="majorHAnsi"/>
        </w:rPr>
        <w:t>Use an Implementation Schedule to plan</w:t>
      </w:r>
      <w:r w:rsidR="00D97A75" w:rsidRPr="00222BAB">
        <w:rPr>
          <w:rFonts w:asciiTheme="majorHAnsi" w:hAnsiTheme="majorHAnsi"/>
        </w:rPr>
        <w:t xml:space="preserve"> opportunities </w:t>
      </w:r>
      <w:r>
        <w:rPr>
          <w:rFonts w:asciiTheme="majorHAnsi" w:hAnsiTheme="majorHAnsi"/>
        </w:rPr>
        <w:t>for students to</w:t>
      </w:r>
      <w:r w:rsidR="00D97A75" w:rsidRPr="00222BAB">
        <w:rPr>
          <w:rFonts w:asciiTheme="majorHAnsi" w:hAnsiTheme="majorHAnsi"/>
        </w:rPr>
        <w:t xml:space="preserve"> practice</w:t>
      </w:r>
    </w:p>
    <w:p w:rsidR="00222BAB" w:rsidRDefault="00D97A75" w:rsidP="00222BAB">
      <w:pPr>
        <w:pStyle w:val="ListParagraph"/>
        <w:numPr>
          <w:ilvl w:val="0"/>
          <w:numId w:val="4"/>
        </w:numPr>
        <w:spacing w:after="240"/>
        <w:rPr>
          <w:rFonts w:asciiTheme="majorHAnsi" w:hAnsiTheme="majorHAnsi"/>
          <w:b/>
        </w:rPr>
      </w:pPr>
      <w:r>
        <w:rPr>
          <w:rFonts w:asciiTheme="majorHAnsi" w:hAnsiTheme="majorHAnsi"/>
          <w:b/>
        </w:rPr>
        <w:t xml:space="preserve">Encourage: </w:t>
      </w:r>
    </w:p>
    <w:p w:rsidR="00D97A75" w:rsidRDefault="00D97A75" w:rsidP="00222BAB">
      <w:pPr>
        <w:pStyle w:val="ListParagraph"/>
        <w:numPr>
          <w:ilvl w:val="1"/>
          <w:numId w:val="4"/>
        </w:numPr>
        <w:spacing w:after="240"/>
        <w:rPr>
          <w:rFonts w:asciiTheme="majorHAnsi" w:hAnsiTheme="majorHAnsi"/>
          <w:b/>
        </w:rPr>
      </w:pPr>
      <w:r w:rsidRPr="00D97A75">
        <w:rPr>
          <w:rFonts w:asciiTheme="majorHAnsi" w:hAnsiTheme="majorHAnsi"/>
        </w:rPr>
        <w:t xml:space="preserve">Use </w:t>
      </w:r>
      <w:r w:rsidR="00222BAB">
        <w:rPr>
          <w:rFonts w:asciiTheme="majorHAnsi" w:hAnsiTheme="majorHAnsi"/>
        </w:rPr>
        <w:t>S</w:t>
      </w:r>
      <w:r w:rsidRPr="00D97A75">
        <w:rPr>
          <w:rFonts w:asciiTheme="majorHAnsi" w:hAnsiTheme="majorHAnsi"/>
        </w:rPr>
        <w:t xml:space="preserve">pecific </w:t>
      </w:r>
      <w:r w:rsidR="00222BAB">
        <w:rPr>
          <w:rFonts w:asciiTheme="majorHAnsi" w:hAnsiTheme="majorHAnsi"/>
        </w:rPr>
        <w:t>P</w:t>
      </w:r>
      <w:r w:rsidRPr="00D97A75">
        <w:rPr>
          <w:rFonts w:asciiTheme="majorHAnsi" w:hAnsiTheme="majorHAnsi"/>
        </w:rPr>
        <w:t xml:space="preserve">ositive </w:t>
      </w:r>
      <w:r w:rsidR="00222BAB">
        <w:rPr>
          <w:rFonts w:asciiTheme="majorHAnsi" w:hAnsiTheme="majorHAnsi"/>
        </w:rPr>
        <w:t>F</w:t>
      </w:r>
      <w:r w:rsidRPr="00D97A75">
        <w:rPr>
          <w:rFonts w:asciiTheme="majorHAnsi" w:hAnsiTheme="majorHAnsi"/>
        </w:rPr>
        <w:t>eedback to acknowledge student compliance with rules</w:t>
      </w:r>
    </w:p>
    <w:p w:rsidR="00222BAB" w:rsidRDefault="00D97A75" w:rsidP="00222BAB">
      <w:pPr>
        <w:pStyle w:val="ListParagraph"/>
        <w:numPr>
          <w:ilvl w:val="0"/>
          <w:numId w:val="4"/>
        </w:numPr>
        <w:spacing w:after="240"/>
        <w:rPr>
          <w:rFonts w:asciiTheme="majorHAnsi" w:hAnsiTheme="majorHAnsi"/>
          <w:b/>
        </w:rPr>
      </w:pPr>
      <w:r>
        <w:rPr>
          <w:rFonts w:asciiTheme="majorHAnsi" w:hAnsiTheme="majorHAnsi"/>
          <w:b/>
        </w:rPr>
        <w:t xml:space="preserve">Progress Monitor: </w:t>
      </w:r>
    </w:p>
    <w:p w:rsidR="00D97A75" w:rsidRDefault="00D97A75" w:rsidP="00222BAB">
      <w:pPr>
        <w:pStyle w:val="ListParagraph"/>
        <w:numPr>
          <w:ilvl w:val="1"/>
          <w:numId w:val="4"/>
        </w:numPr>
        <w:spacing w:after="240"/>
        <w:rPr>
          <w:rFonts w:asciiTheme="majorHAnsi" w:hAnsiTheme="majorHAnsi"/>
          <w:b/>
        </w:rPr>
      </w:pPr>
      <w:r w:rsidRPr="00D97A75">
        <w:rPr>
          <w:rFonts w:asciiTheme="majorHAnsi" w:hAnsiTheme="majorHAnsi"/>
        </w:rPr>
        <w:t>Use Classroom Rules Rating Form</w:t>
      </w:r>
    </w:p>
    <w:p w:rsidR="00350F84" w:rsidRPr="00350F84" w:rsidRDefault="00350F84" w:rsidP="00350F84">
      <w:pPr>
        <w:rPr>
          <w:rFonts w:asciiTheme="majorHAnsi" w:hAnsiTheme="majorHAnsi"/>
          <w:b/>
          <w:sz w:val="24"/>
        </w:rPr>
      </w:pPr>
      <w:r w:rsidRPr="00350F84">
        <w:rPr>
          <w:rFonts w:asciiTheme="majorHAnsi" w:hAnsiTheme="majorHAnsi"/>
          <w:b/>
          <w:sz w:val="24"/>
        </w:rPr>
        <w:lastRenderedPageBreak/>
        <w:t>Creating Classroom Rules:</w:t>
      </w:r>
    </w:p>
    <w:p w:rsidR="00350F84" w:rsidRPr="00350F84" w:rsidRDefault="00350F84" w:rsidP="00350F84">
      <w:pPr>
        <w:rPr>
          <w:rFonts w:asciiTheme="majorHAnsi" w:hAnsiTheme="majorHAnsi"/>
        </w:rPr>
      </w:pPr>
      <w:r w:rsidRPr="00350F84">
        <w:rPr>
          <w:rFonts w:asciiTheme="majorHAnsi" w:hAnsiTheme="majorHAnsi"/>
        </w:rPr>
        <w:t>To enhance the effectiveness of classroom rules, 5 guidelines need to be considered.</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240"/>
        <w:gridCol w:w="2430"/>
        <w:gridCol w:w="3240"/>
      </w:tblGrid>
      <w:tr w:rsidR="00350F84" w:rsidRPr="00350F84" w:rsidTr="00350F84">
        <w:trPr>
          <w:trHeight w:val="377"/>
        </w:trPr>
        <w:tc>
          <w:tcPr>
            <w:tcW w:w="2268" w:type="dxa"/>
          </w:tcPr>
          <w:p w:rsidR="00350F84" w:rsidRPr="00350F84" w:rsidRDefault="00350F84" w:rsidP="00906D4F">
            <w:pPr>
              <w:rPr>
                <w:rFonts w:asciiTheme="majorHAnsi" w:eastAsia="Times New Roman" w:hAnsiTheme="majorHAnsi"/>
                <w:b/>
                <w:sz w:val="20"/>
              </w:rPr>
            </w:pPr>
            <w:r w:rsidRPr="00350F84">
              <w:rPr>
                <w:rFonts w:asciiTheme="majorHAnsi" w:eastAsia="Times New Roman" w:hAnsiTheme="majorHAnsi"/>
                <w:b/>
                <w:sz w:val="20"/>
              </w:rPr>
              <w:t>Guideline:</w:t>
            </w:r>
          </w:p>
        </w:tc>
        <w:tc>
          <w:tcPr>
            <w:tcW w:w="3240" w:type="dxa"/>
          </w:tcPr>
          <w:p w:rsidR="00350F84" w:rsidRPr="00350F84" w:rsidRDefault="00350F84" w:rsidP="00906D4F">
            <w:pPr>
              <w:rPr>
                <w:rFonts w:asciiTheme="majorHAnsi" w:eastAsia="Times New Roman" w:hAnsiTheme="majorHAnsi"/>
                <w:b/>
                <w:sz w:val="20"/>
              </w:rPr>
            </w:pPr>
            <w:r w:rsidRPr="00350F84">
              <w:rPr>
                <w:rFonts w:asciiTheme="majorHAnsi" w:eastAsia="Times New Roman" w:hAnsiTheme="majorHAnsi"/>
                <w:b/>
                <w:sz w:val="20"/>
              </w:rPr>
              <w:t>This Means:</w:t>
            </w:r>
          </w:p>
        </w:tc>
        <w:tc>
          <w:tcPr>
            <w:tcW w:w="2430" w:type="dxa"/>
          </w:tcPr>
          <w:p w:rsidR="00350F84" w:rsidRPr="00350F84" w:rsidRDefault="00350F84" w:rsidP="00906D4F">
            <w:pPr>
              <w:rPr>
                <w:rFonts w:asciiTheme="majorHAnsi" w:eastAsia="Times New Roman" w:hAnsiTheme="majorHAnsi"/>
                <w:b/>
                <w:sz w:val="20"/>
              </w:rPr>
            </w:pPr>
            <w:r w:rsidRPr="00350F84">
              <w:rPr>
                <w:rFonts w:asciiTheme="majorHAnsi" w:eastAsia="Times New Roman" w:hAnsiTheme="majorHAnsi"/>
                <w:b/>
                <w:sz w:val="20"/>
              </w:rPr>
              <w:t>Example:</w:t>
            </w:r>
          </w:p>
        </w:tc>
        <w:tc>
          <w:tcPr>
            <w:tcW w:w="3240" w:type="dxa"/>
          </w:tcPr>
          <w:p w:rsidR="00350F84" w:rsidRPr="00350F84" w:rsidRDefault="00350F84" w:rsidP="00906D4F">
            <w:pPr>
              <w:rPr>
                <w:rFonts w:asciiTheme="majorHAnsi" w:eastAsia="Times New Roman" w:hAnsiTheme="majorHAnsi"/>
                <w:b/>
                <w:sz w:val="20"/>
              </w:rPr>
            </w:pPr>
            <w:r w:rsidRPr="00350F84">
              <w:rPr>
                <w:rFonts w:asciiTheme="majorHAnsi" w:eastAsia="Times New Roman" w:hAnsiTheme="majorHAnsi"/>
                <w:b/>
                <w:sz w:val="20"/>
              </w:rPr>
              <w:t>Non-Example:</w:t>
            </w:r>
          </w:p>
        </w:tc>
      </w:tr>
      <w:tr w:rsidR="00350F84" w:rsidRPr="00350F84" w:rsidTr="00350F84">
        <w:trPr>
          <w:trHeight w:val="548"/>
        </w:trPr>
        <w:tc>
          <w:tcPr>
            <w:tcW w:w="2268" w:type="dxa"/>
          </w:tcPr>
          <w:p w:rsidR="00350F84" w:rsidRPr="00350F84" w:rsidRDefault="00350F84" w:rsidP="00906D4F">
            <w:pPr>
              <w:rPr>
                <w:rFonts w:asciiTheme="majorHAnsi" w:eastAsia="Times New Roman" w:hAnsiTheme="majorHAnsi"/>
                <w:b/>
                <w:sz w:val="20"/>
              </w:rPr>
            </w:pPr>
            <w:r w:rsidRPr="00350F84">
              <w:rPr>
                <w:rFonts w:asciiTheme="majorHAnsi" w:eastAsia="Times New Roman" w:hAnsiTheme="majorHAnsi"/>
                <w:b/>
                <w:sz w:val="20"/>
              </w:rPr>
              <w:t>Observable</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I can see it.</w:t>
            </w:r>
          </w:p>
        </w:tc>
        <w:tc>
          <w:tcPr>
            <w:tcW w:w="2430" w:type="dxa"/>
          </w:tcPr>
          <w:p w:rsidR="00350F84" w:rsidRPr="00350F84" w:rsidRDefault="00350F84" w:rsidP="00350F84">
            <w:pPr>
              <w:rPr>
                <w:rFonts w:asciiTheme="majorHAnsi" w:eastAsia="Times New Roman" w:hAnsiTheme="majorHAnsi"/>
                <w:sz w:val="20"/>
              </w:rPr>
            </w:pPr>
            <w:r w:rsidRPr="00350F84">
              <w:rPr>
                <w:rFonts w:asciiTheme="majorHAnsi" w:eastAsia="Times New Roman" w:hAnsiTheme="majorHAnsi"/>
                <w:sz w:val="20"/>
              </w:rPr>
              <w:t>Raise hand and wait to be called on.</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Be your best.</w:t>
            </w:r>
          </w:p>
        </w:tc>
      </w:tr>
      <w:tr w:rsidR="00350F84" w:rsidRPr="00350F84" w:rsidTr="00906D4F">
        <w:tc>
          <w:tcPr>
            <w:tcW w:w="2268" w:type="dxa"/>
          </w:tcPr>
          <w:p w:rsidR="00350F84" w:rsidRPr="00350F84" w:rsidRDefault="00350F84" w:rsidP="00350F84">
            <w:pPr>
              <w:rPr>
                <w:rFonts w:asciiTheme="majorHAnsi" w:eastAsia="Times New Roman" w:hAnsiTheme="majorHAnsi"/>
                <w:b/>
                <w:sz w:val="20"/>
              </w:rPr>
            </w:pPr>
            <w:r w:rsidRPr="00350F84">
              <w:rPr>
                <w:rFonts w:asciiTheme="majorHAnsi" w:eastAsia="Times New Roman" w:hAnsiTheme="majorHAnsi"/>
                <w:b/>
                <w:sz w:val="20"/>
              </w:rPr>
              <w:t>Measurable</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I can count it.</w:t>
            </w:r>
          </w:p>
        </w:tc>
        <w:tc>
          <w:tcPr>
            <w:tcW w:w="243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Bring materials.</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Be ready to learn.</w:t>
            </w:r>
          </w:p>
        </w:tc>
      </w:tr>
      <w:tr w:rsidR="00350F84" w:rsidRPr="00350F84" w:rsidTr="00906D4F">
        <w:tc>
          <w:tcPr>
            <w:tcW w:w="2268" w:type="dxa"/>
          </w:tcPr>
          <w:p w:rsidR="00350F84" w:rsidRPr="00350F84" w:rsidRDefault="00350F84" w:rsidP="00350F84">
            <w:pPr>
              <w:rPr>
                <w:rFonts w:asciiTheme="majorHAnsi" w:eastAsia="Times New Roman" w:hAnsiTheme="majorHAnsi"/>
                <w:b/>
                <w:sz w:val="20"/>
              </w:rPr>
            </w:pPr>
            <w:r w:rsidRPr="00350F84">
              <w:rPr>
                <w:rFonts w:asciiTheme="majorHAnsi" w:eastAsia="Times New Roman" w:hAnsiTheme="majorHAnsi"/>
                <w:b/>
                <w:sz w:val="20"/>
              </w:rPr>
              <w:t>Positively Stated</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I tell students what TO do.</w:t>
            </w:r>
          </w:p>
        </w:tc>
        <w:tc>
          <w:tcPr>
            <w:tcW w:w="243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Hands and feet to self.</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No fighting.</w:t>
            </w:r>
          </w:p>
        </w:tc>
      </w:tr>
      <w:tr w:rsidR="00350F84" w:rsidRPr="00350F84" w:rsidTr="00906D4F">
        <w:tc>
          <w:tcPr>
            <w:tcW w:w="2268" w:type="dxa"/>
          </w:tcPr>
          <w:p w:rsidR="00350F84" w:rsidRPr="00350F84" w:rsidRDefault="00350F84" w:rsidP="00350F84">
            <w:pPr>
              <w:rPr>
                <w:rFonts w:asciiTheme="majorHAnsi" w:eastAsia="Times New Roman" w:hAnsiTheme="majorHAnsi"/>
                <w:b/>
                <w:sz w:val="20"/>
              </w:rPr>
            </w:pPr>
            <w:r w:rsidRPr="00350F84">
              <w:rPr>
                <w:rFonts w:asciiTheme="majorHAnsi" w:eastAsia="Times New Roman" w:hAnsiTheme="majorHAnsi"/>
                <w:b/>
                <w:sz w:val="20"/>
              </w:rPr>
              <w:t>Understandable</w:t>
            </w:r>
          </w:p>
        </w:tc>
        <w:tc>
          <w:tcPr>
            <w:tcW w:w="3240" w:type="dxa"/>
          </w:tcPr>
          <w:p w:rsidR="00350F84" w:rsidRPr="00350F84" w:rsidRDefault="00350F84" w:rsidP="00350F84">
            <w:pPr>
              <w:rPr>
                <w:rFonts w:asciiTheme="majorHAnsi" w:eastAsia="Times New Roman" w:hAnsiTheme="majorHAnsi"/>
                <w:sz w:val="20"/>
              </w:rPr>
            </w:pPr>
            <w:r w:rsidRPr="00350F84">
              <w:rPr>
                <w:rFonts w:asciiTheme="majorHAnsi" w:eastAsia="Times New Roman" w:hAnsiTheme="majorHAnsi"/>
                <w:sz w:val="20"/>
              </w:rPr>
              <w:t>The vocabulary is appropriate for age/grade level I teach.</w:t>
            </w:r>
          </w:p>
        </w:tc>
        <w:tc>
          <w:tcPr>
            <w:tcW w:w="243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Hands and feet to self.</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Rule for K-1: Maintain personal space.</w:t>
            </w:r>
          </w:p>
          <w:p w:rsidR="00350F84" w:rsidRPr="00350F84" w:rsidRDefault="00350F84" w:rsidP="00350F84">
            <w:pPr>
              <w:rPr>
                <w:rFonts w:asciiTheme="majorHAnsi" w:eastAsia="Times New Roman" w:hAnsiTheme="majorHAnsi"/>
                <w:sz w:val="20"/>
              </w:rPr>
            </w:pPr>
            <w:r w:rsidRPr="00350F84">
              <w:rPr>
                <w:rFonts w:asciiTheme="majorHAnsi" w:eastAsia="Times New Roman" w:hAnsiTheme="majorHAnsi"/>
                <w:sz w:val="20"/>
              </w:rPr>
              <w:t>*Children of this age do not have a concept of “personal space.”</w:t>
            </w:r>
          </w:p>
        </w:tc>
      </w:tr>
      <w:tr w:rsidR="00350F84" w:rsidRPr="00350F84" w:rsidTr="00906D4F">
        <w:trPr>
          <w:trHeight w:val="1691"/>
        </w:trPr>
        <w:tc>
          <w:tcPr>
            <w:tcW w:w="2268" w:type="dxa"/>
          </w:tcPr>
          <w:p w:rsidR="00350F84" w:rsidRPr="00350F84" w:rsidRDefault="00350F84" w:rsidP="00906D4F">
            <w:pPr>
              <w:rPr>
                <w:rFonts w:asciiTheme="majorHAnsi" w:eastAsia="Times New Roman" w:hAnsiTheme="majorHAnsi"/>
                <w:b/>
                <w:sz w:val="20"/>
              </w:rPr>
            </w:pPr>
            <w:r w:rsidRPr="00350F84">
              <w:rPr>
                <w:rFonts w:asciiTheme="majorHAnsi" w:eastAsia="Times New Roman" w:hAnsiTheme="majorHAnsi"/>
                <w:b/>
                <w:sz w:val="20"/>
              </w:rPr>
              <w:t>Always Applicable</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I am able to consistently enforce.</w:t>
            </w:r>
          </w:p>
          <w:p w:rsidR="00350F84" w:rsidRPr="00350F84" w:rsidRDefault="00350F84" w:rsidP="00906D4F">
            <w:pPr>
              <w:rPr>
                <w:rFonts w:asciiTheme="majorHAnsi" w:eastAsia="Times New Roman" w:hAnsiTheme="majorHAnsi"/>
                <w:sz w:val="20"/>
              </w:rPr>
            </w:pPr>
          </w:p>
        </w:tc>
        <w:tc>
          <w:tcPr>
            <w:tcW w:w="243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Stay in assigned area.</w:t>
            </w:r>
          </w:p>
        </w:tc>
        <w:tc>
          <w:tcPr>
            <w:tcW w:w="3240" w:type="dxa"/>
          </w:tcPr>
          <w:p w:rsidR="00350F84" w:rsidRPr="00350F84" w:rsidRDefault="00350F84" w:rsidP="00906D4F">
            <w:pPr>
              <w:rPr>
                <w:rFonts w:asciiTheme="majorHAnsi" w:eastAsia="Times New Roman" w:hAnsiTheme="majorHAnsi"/>
                <w:sz w:val="20"/>
              </w:rPr>
            </w:pPr>
            <w:r w:rsidRPr="00350F84">
              <w:rPr>
                <w:rFonts w:asciiTheme="majorHAnsi" w:eastAsia="Times New Roman" w:hAnsiTheme="majorHAnsi"/>
                <w:sz w:val="20"/>
              </w:rPr>
              <w:t>Remain seated until given permission to leave.</w:t>
            </w:r>
          </w:p>
          <w:p w:rsidR="00350F84" w:rsidRPr="00350F84" w:rsidRDefault="00350F84" w:rsidP="00350F84">
            <w:pPr>
              <w:rPr>
                <w:rFonts w:asciiTheme="majorHAnsi" w:eastAsia="Times New Roman" w:hAnsiTheme="majorHAnsi"/>
                <w:sz w:val="20"/>
              </w:rPr>
            </w:pPr>
            <w:r w:rsidRPr="00350F84">
              <w:rPr>
                <w:rFonts w:asciiTheme="majorHAnsi" w:eastAsia="Times New Roman" w:hAnsiTheme="majorHAnsi"/>
                <w:sz w:val="20"/>
              </w:rPr>
              <w:t>*This would not be applicable when students are working on certain types of group projects.</w:t>
            </w:r>
          </w:p>
        </w:tc>
      </w:tr>
    </w:tbl>
    <w:p w:rsidR="00F3382F" w:rsidRDefault="00F3382F"/>
    <w:p w:rsidR="00350F84" w:rsidRDefault="00350F84">
      <w:r w:rsidRPr="00D97A75">
        <w:rPr>
          <w:b/>
          <w:sz w:val="24"/>
        </w:rPr>
        <w:t>Example of Rules Aligned with School-wide Expectations</w:t>
      </w:r>
      <w:r w:rsidR="00D97A75">
        <w:rPr>
          <w:b/>
          <w:sz w:val="24"/>
        </w:rPr>
        <w:t>:</w:t>
      </w:r>
    </w:p>
    <w:p w:rsidR="00350F84" w:rsidRDefault="00D97A75">
      <w:r>
        <w:rPr>
          <w:noProof/>
        </w:rPr>
        <w:drawing>
          <wp:inline distT="0" distB="0" distL="0" distR="0" wp14:anchorId="6AADEAED">
            <wp:extent cx="6743700" cy="326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4169" cy="3264127"/>
                    </a:xfrm>
                    <a:prstGeom prst="rect">
                      <a:avLst/>
                    </a:prstGeom>
                    <a:noFill/>
                  </pic:spPr>
                </pic:pic>
              </a:graphicData>
            </a:graphic>
          </wp:inline>
        </w:drawing>
      </w:r>
    </w:p>
    <w:sectPr w:rsidR="00350F84" w:rsidSect="0017414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8D" w:rsidRDefault="00E05E8D" w:rsidP="00E40D75">
      <w:pPr>
        <w:spacing w:after="0" w:line="240" w:lineRule="auto"/>
      </w:pPr>
      <w:r>
        <w:separator/>
      </w:r>
    </w:p>
  </w:endnote>
  <w:endnote w:type="continuationSeparator" w:id="0">
    <w:p w:rsidR="00E05E8D" w:rsidRDefault="00E05E8D" w:rsidP="00E4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Gothic-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4F" w:rsidRDefault="00174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538099"/>
      <w:docPartObj>
        <w:docPartGallery w:val="Page Numbers (Bottom of Page)"/>
        <w:docPartUnique/>
      </w:docPartObj>
    </w:sdtPr>
    <w:sdtEndPr>
      <w:rPr>
        <w:noProof/>
      </w:rPr>
    </w:sdtEndPr>
    <w:sdtContent>
      <w:p w:rsidR="002401CD" w:rsidRDefault="002401CD">
        <w:pPr>
          <w:pStyle w:val="Footer"/>
          <w:jc w:val="right"/>
        </w:pPr>
        <w:r>
          <w:fldChar w:fldCharType="begin"/>
        </w:r>
        <w:r>
          <w:instrText xml:space="preserve"> PAGE   \* MERGEFORMAT </w:instrText>
        </w:r>
        <w:r>
          <w:fldChar w:fldCharType="separate"/>
        </w:r>
        <w:r w:rsidR="00124391">
          <w:rPr>
            <w:noProof/>
          </w:rPr>
          <w:t>2</w:t>
        </w:r>
        <w:r>
          <w:rPr>
            <w:noProof/>
          </w:rPr>
          <w:fldChar w:fldCharType="end"/>
        </w:r>
      </w:p>
    </w:sdtContent>
  </w:sdt>
  <w:p w:rsidR="00222BAB" w:rsidRDefault="0017414F">
    <w:pPr>
      <w:pStyle w:val="Footer"/>
    </w:pPr>
    <w:r>
      <w:rPr>
        <w:rFonts w:ascii="Arial Narrow" w:hAnsi="Arial Narrow"/>
        <w:noProof/>
      </w:rPr>
      <w:t>Adapted from:</w:t>
    </w:r>
    <w:r>
      <w:rPr>
        <w:noProof/>
      </w:rPr>
      <w:t xml:space="preserve">    </w:t>
    </w:r>
    <w:r>
      <w:rPr>
        <w:rStyle w:val="PageNumber"/>
        <w:rFonts w:ascii="Arial Narrow" w:hAnsi="Arial Narrow"/>
      </w:rPr>
      <w:t>MO SW-PBS Effective Classroom Practice 2012-2013 &amp;</w:t>
    </w:r>
    <w:r>
      <w:rPr>
        <w:rStyle w:val="PageNumber"/>
        <w:rFonts w:ascii="Arial Narrow" w:hAnsi="Arial Narrow"/>
        <w:b/>
      </w:rPr>
      <w:t xml:space="preserve"> </w:t>
    </w:r>
    <w:r>
      <w:rPr>
        <w:rFonts w:ascii="Arial Narrow" w:hAnsi="Arial Narrow"/>
        <w:szCs w:val="18"/>
      </w:rPr>
      <w:t xml:space="preserve">CHAMPS©, </w:t>
    </w:r>
    <w:r>
      <w:rPr>
        <w:rFonts w:ascii="Arial Narrow" w:hAnsi="Arial Narrow"/>
        <w:i/>
        <w:szCs w:val="18"/>
      </w:rPr>
      <w:t>A Proactive and Positive Approach to Classroom Management, Discipline in the Secondary Classroom</w:t>
    </w:r>
    <w:r>
      <w:rPr>
        <w:rFonts w:ascii="Arial Narrow" w:hAnsi="Arial Narrow"/>
        <w:szCs w:val="18"/>
      </w:rPr>
      <w:t xml:space="preserve"> and materials developed by Teaching Strategies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4F" w:rsidRDefault="0017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8D" w:rsidRDefault="00E05E8D" w:rsidP="00E40D75">
      <w:pPr>
        <w:spacing w:after="0" w:line="240" w:lineRule="auto"/>
      </w:pPr>
      <w:r>
        <w:separator/>
      </w:r>
    </w:p>
  </w:footnote>
  <w:footnote w:type="continuationSeparator" w:id="0">
    <w:p w:rsidR="00E05E8D" w:rsidRDefault="00E05E8D" w:rsidP="00E40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4F" w:rsidRDefault="00174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75" w:rsidRDefault="00E40D75" w:rsidP="00222BAB">
    <w:pPr>
      <w:pStyle w:val="Header"/>
      <w:spacing w:after="160"/>
      <w:jc w:val="center"/>
    </w:pPr>
    <w:r>
      <w:rPr>
        <w:rFonts w:ascii="FranklinGothic-Medium" w:hAnsi="FranklinGothic-Medium" w:cs="FranklinGothic-Medium"/>
        <w:sz w:val="36"/>
        <w:szCs w:val="36"/>
      </w:rPr>
      <w:t>Effective Classroom Practices: Expectations and Rules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4F" w:rsidRDefault="0017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15422"/>
    <w:multiLevelType w:val="hybridMultilevel"/>
    <w:tmpl w:val="CE4A77F0"/>
    <w:lvl w:ilvl="0" w:tplc="A87E985A">
      <w:start w:val="1"/>
      <w:numFmt w:val="bullet"/>
      <w:lvlText w:val="–"/>
      <w:lvlJc w:val="left"/>
      <w:pPr>
        <w:tabs>
          <w:tab w:val="num" w:pos="720"/>
        </w:tabs>
        <w:ind w:left="720" w:hanging="360"/>
      </w:pPr>
      <w:rPr>
        <w:rFonts w:ascii="Arial" w:hAnsi="Arial" w:hint="default"/>
      </w:rPr>
    </w:lvl>
    <w:lvl w:ilvl="1" w:tplc="1E700B54">
      <w:start w:val="1"/>
      <w:numFmt w:val="bullet"/>
      <w:lvlText w:val="–"/>
      <w:lvlJc w:val="left"/>
      <w:pPr>
        <w:tabs>
          <w:tab w:val="num" w:pos="1440"/>
        </w:tabs>
        <w:ind w:left="1440" w:hanging="360"/>
      </w:pPr>
      <w:rPr>
        <w:rFonts w:ascii="Arial" w:hAnsi="Arial" w:hint="default"/>
      </w:rPr>
    </w:lvl>
    <w:lvl w:ilvl="2" w:tplc="FEC44E8E" w:tentative="1">
      <w:start w:val="1"/>
      <w:numFmt w:val="bullet"/>
      <w:lvlText w:val="–"/>
      <w:lvlJc w:val="left"/>
      <w:pPr>
        <w:tabs>
          <w:tab w:val="num" w:pos="2160"/>
        </w:tabs>
        <w:ind w:left="2160" w:hanging="360"/>
      </w:pPr>
      <w:rPr>
        <w:rFonts w:ascii="Arial" w:hAnsi="Arial" w:hint="default"/>
      </w:rPr>
    </w:lvl>
    <w:lvl w:ilvl="3" w:tplc="F496AA28" w:tentative="1">
      <w:start w:val="1"/>
      <w:numFmt w:val="bullet"/>
      <w:lvlText w:val="–"/>
      <w:lvlJc w:val="left"/>
      <w:pPr>
        <w:tabs>
          <w:tab w:val="num" w:pos="2880"/>
        </w:tabs>
        <w:ind w:left="2880" w:hanging="360"/>
      </w:pPr>
      <w:rPr>
        <w:rFonts w:ascii="Arial" w:hAnsi="Arial" w:hint="default"/>
      </w:rPr>
    </w:lvl>
    <w:lvl w:ilvl="4" w:tplc="6B609F38" w:tentative="1">
      <w:start w:val="1"/>
      <w:numFmt w:val="bullet"/>
      <w:lvlText w:val="–"/>
      <w:lvlJc w:val="left"/>
      <w:pPr>
        <w:tabs>
          <w:tab w:val="num" w:pos="3600"/>
        </w:tabs>
        <w:ind w:left="3600" w:hanging="360"/>
      </w:pPr>
      <w:rPr>
        <w:rFonts w:ascii="Arial" w:hAnsi="Arial" w:hint="default"/>
      </w:rPr>
    </w:lvl>
    <w:lvl w:ilvl="5" w:tplc="91C4864C" w:tentative="1">
      <w:start w:val="1"/>
      <w:numFmt w:val="bullet"/>
      <w:lvlText w:val="–"/>
      <w:lvlJc w:val="left"/>
      <w:pPr>
        <w:tabs>
          <w:tab w:val="num" w:pos="4320"/>
        </w:tabs>
        <w:ind w:left="4320" w:hanging="360"/>
      </w:pPr>
      <w:rPr>
        <w:rFonts w:ascii="Arial" w:hAnsi="Arial" w:hint="default"/>
      </w:rPr>
    </w:lvl>
    <w:lvl w:ilvl="6" w:tplc="AEB6F228" w:tentative="1">
      <w:start w:val="1"/>
      <w:numFmt w:val="bullet"/>
      <w:lvlText w:val="–"/>
      <w:lvlJc w:val="left"/>
      <w:pPr>
        <w:tabs>
          <w:tab w:val="num" w:pos="5040"/>
        </w:tabs>
        <w:ind w:left="5040" w:hanging="360"/>
      </w:pPr>
      <w:rPr>
        <w:rFonts w:ascii="Arial" w:hAnsi="Arial" w:hint="default"/>
      </w:rPr>
    </w:lvl>
    <w:lvl w:ilvl="7" w:tplc="9D622F36" w:tentative="1">
      <w:start w:val="1"/>
      <w:numFmt w:val="bullet"/>
      <w:lvlText w:val="–"/>
      <w:lvlJc w:val="left"/>
      <w:pPr>
        <w:tabs>
          <w:tab w:val="num" w:pos="5760"/>
        </w:tabs>
        <w:ind w:left="5760" w:hanging="360"/>
      </w:pPr>
      <w:rPr>
        <w:rFonts w:ascii="Arial" w:hAnsi="Arial" w:hint="default"/>
      </w:rPr>
    </w:lvl>
    <w:lvl w:ilvl="8" w:tplc="7CA40A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BA271B"/>
    <w:multiLevelType w:val="hybridMultilevel"/>
    <w:tmpl w:val="E38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A2E54"/>
    <w:multiLevelType w:val="hybridMultilevel"/>
    <w:tmpl w:val="61E2AEB0"/>
    <w:lvl w:ilvl="0" w:tplc="0409000F">
      <w:start w:val="1"/>
      <w:numFmt w:val="decimal"/>
      <w:lvlText w:val="%1."/>
      <w:lvlJc w:val="left"/>
      <w:pPr>
        <w:ind w:left="720" w:hanging="360"/>
      </w:pPr>
    </w:lvl>
    <w:lvl w:ilvl="1" w:tplc="A87E985A">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A0CBD"/>
    <w:multiLevelType w:val="hybridMultilevel"/>
    <w:tmpl w:val="D43478E0"/>
    <w:lvl w:ilvl="0" w:tplc="B03EA8D0">
      <w:start w:val="1"/>
      <w:numFmt w:val="bullet"/>
      <w:lvlText w:val="•"/>
      <w:lvlJc w:val="left"/>
      <w:pPr>
        <w:tabs>
          <w:tab w:val="num" w:pos="720"/>
        </w:tabs>
        <w:ind w:left="720" w:hanging="360"/>
      </w:pPr>
      <w:rPr>
        <w:rFonts w:ascii="Arial" w:hAnsi="Arial" w:hint="default"/>
      </w:rPr>
    </w:lvl>
    <w:lvl w:ilvl="1" w:tplc="A3E89696" w:tentative="1">
      <w:start w:val="1"/>
      <w:numFmt w:val="bullet"/>
      <w:lvlText w:val="•"/>
      <w:lvlJc w:val="left"/>
      <w:pPr>
        <w:tabs>
          <w:tab w:val="num" w:pos="1440"/>
        </w:tabs>
        <w:ind w:left="1440" w:hanging="360"/>
      </w:pPr>
      <w:rPr>
        <w:rFonts w:ascii="Arial" w:hAnsi="Arial" w:hint="default"/>
      </w:rPr>
    </w:lvl>
    <w:lvl w:ilvl="2" w:tplc="A4D06B6E" w:tentative="1">
      <w:start w:val="1"/>
      <w:numFmt w:val="bullet"/>
      <w:lvlText w:val="•"/>
      <w:lvlJc w:val="left"/>
      <w:pPr>
        <w:tabs>
          <w:tab w:val="num" w:pos="2160"/>
        </w:tabs>
        <w:ind w:left="2160" w:hanging="360"/>
      </w:pPr>
      <w:rPr>
        <w:rFonts w:ascii="Arial" w:hAnsi="Arial" w:hint="default"/>
      </w:rPr>
    </w:lvl>
    <w:lvl w:ilvl="3" w:tplc="B3C639DA" w:tentative="1">
      <w:start w:val="1"/>
      <w:numFmt w:val="bullet"/>
      <w:lvlText w:val="•"/>
      <w:lvlJc w:val="left"/>
      <w:pPr>
        <w:tabs>
          <w:tab w:val="num" w:pos="2880"/>
        </w:tabs>
        <w:ind w:left="2880" w:hanging="360"/>
      </w:pPr>
      <w:rPr>
        <w:rFonts w:ascii="Arial" w:hAnsi="Arial" w:hint="default"/>
      </w:rPr>
    </w:lvl>
    <w:lvl w:ilvl="4" w:tplc="F228A4DE" w:tentative="1">
      <w:start w:val="1"/>
      <w:numFmt w:val="bullet"/>
      <w:lvlText w:val="•"/>
      <w:lvlJc w:val="left"/>
      <w:pPr>
        <w:tabs>
          <w:tab w:val="num" w:pos="3600"/>
        </w:tabs>
        <w:ind w:left="3600" w:hanging="360"/>
      </w:pPr>
      <w:rPr>
        <w:rFonts w:ascii="Arial" w:hAnsi="Arial" w:hint="default"/>
      </w:rPr>
    </w:lvl>
    <w:lvl w:ilvl="5" w:tplc="6262D0A0" w:tentative="1">
      <w:start w:val="1"/>
      <w:numFmt w:val="bullet"/>
      <w:lvlText w:val="•"/>
      <w:lvlJc w:val="left"/>
      <w:pPr>
        <w:tabs>
          <w:tab w:val="num" w:pos="4320"/>
        </w:tabs>
        <w:ind w:left="4320" w:hanging="360"/>
      </w:pPr>
      <w:rPr>
        <w:rFonts w:ascii="Arial" w:hAnsi="Arial" w:hint="default"/>
      </w:rPr>
    </w:lvl>
    <w:lvl w:ilvl="6" w:tplc="34445F5C" w:tentative="1">
      <w:start w:val="1"/>
      <w:numFmt w:val="bullet"/>
      <w:lvlText w:val="•"/>
      <w:lvlJc w:val="left"/>
      <w:pPr>
        <w:tabs>
          <w:tab w:val="num" w:pos="5040"/>
        </w:tabs>
        <w:ind w:left="5040" w:hanging="360"/>
      </w:pPr>
      <w:rPr>
        <w:rFonts w:ascii="Arial" w:hAnsi="Arial" w:hint="default"/>
      </w:rPr>
    </w:lvl>
    <w:lvl w:ilvl="7" w:tplc="DDF6C30C" w:tentative="1">
      <w:start w:val="1"/>
      <w:numFmt w:val="bullet"/>
      <w:lvlText w:val="•"/>
      <w:lvlJc w:val="left"/>
      <w:pPr>
        <w:tabs>
          <w:tab w:val="num" w:pos="5760"/>
        </w:tabs>
        <w:ind w:left="5760" w:hanging="360"/>
      </w:pPr>
      <w:rPr>
        <w:rFonts w:ascii="Arial" w:hAnsi="Arial" w:hint="default"/>
      </w:rPr>
    </w:lvl>
    <w:lvl w:ilvl="8" w:tplc="39D29D1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75"/>
    <w:rsid w:val="00124391"/>
    <w:rsid w:val="0017414F"/>
    <w:rsid w:val="00222BAB"/>
    <w:rsid w:val="002401CD"/>
    <w:rsid w:val="00350F84"/>
    <w:rsid w:val="0049114F"/>
    <w:rsid w:val="00622440"/>
    <w:rsid w:val="00A7199E"/>
    <w:rsid w:val="00BD53DF"/>
    <w:rsid w:val="00D97A75"/>
    <w:rsid w:val="00E05E8D"/>
    <w:rsid w:val="00E40D75"/>
    <w:rsid w:val="00F3290E"/>
    <w:rsid w:val="00F3382F"/>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18F43-610A-486F-9254-B02DAEF1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75"/>
  </w:style>
  <w:style w:type="paragraph" w:styleId="Footer">
    <w:name w:val="footer"/>
    <w:basedOn w:val="Normal"/>
    <w:link w:val="FooterChar"/>
    <w:uiPriority w:val="99"/>
    <w:unhideWhenUsed/>
    <w:rsid w:val="00E40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75"/>
  </w:style>
  <w:style w:type="paragraph" w:styleId="BalloonText">
    <w:name w:val="Balloon Text"/>
    <w:basedOn w:val="Normal"/>
    <w:link w:val="BalloonTextChar"/>
    <w:uiPriority w:val="99"/>
    <w:semiHidden/>
    <w:unhideWhenUsed/>
    <w:rsid w:val="00E40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75"/>
    <w:rPr>
      <w:rFonts w:ascii="Tahoma" w:hAnsi="Tahoma" w:cs="Tahoma"/>
      <w:sz w:val="16"/>
      <w:szCs w:val="16"/>
    </w:rPr>
  </w:style>
  <w:style w:type="table" w:styleId="TableGrid">
    <w:name w:val="Table Grid"/>
    <w:basedOn w:val="TableNormal"/>
    <w:uiPriority w:val="59"/>
    <w:rsid w:val="00FF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C23"/>
    <w:pPr>
      <w:ind w:left="720"/>
      <w:contextualSpacing/>
    </w:pPr>
  </w:style>
  <w:style w:type="character" w:styleId="PageNumber">
    <w:name w:val="page number"/>
    <w:basedOn w:val="DefaultParagraphFont"/>
    <w:uiPriority w:val="99"/>
    <w:semiHidden/>
    <w:unhideWhenUsed/>
    <w:rsid w:val="0017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5399">
      <w:bodyDiv w:val="1"/>
      <w:marLeft w:val="0"/>
      <w:marRight w:val="0"/>
      <w:marTop w:val="0"/>
      <w:marBottom w:val="0"/>
      <w:divBdr>
        <w:top w:val="none" w:sz="0" w:space="0" w:color="auto"/>
        <w:left w:val="none" w:sz="0" w:space="0" w:color="auto"/>
        <w:bottom w:val="none" w:sz="0" w:space="0" w:color="auto"/>
        <w:right w:val="none" w:sz="0" w:space="0" w:color="auto"/>
      </w:divBdr>
      <w:divsChild>
        <w:div w:id="1324510902">
          <w:marLeft w:val="1987"/>
          <w:marRight w:val="0"/>
          <w:marTop w:val="0"/>
          <w:marBottom w:val="0"/>
          <w:divBdr>
            <w:top w:val="none" w:sz="0" w:space="0" w:color="auto"/>
            <w:left w:val="none" w:sz="0" w:space="0" w:color="auto"/>
            <w:bottom w:val="none" w:sz="0" w:space="0" w:color="auto"/>
            <w:right w:val="none" w:sz="0" w:space="0" w:color="auto"/>
          </w:divBdr>
        </w:div>
        <w:div w:id="937450408">
          <w:marLeft w:val="1987"/>
          <w:marRight w:val="0"/>
          <w:marTop w:val="0"/>
          <w:marBottom w:val="0"/>
          <w:divBdr>
            <w:top w:val="none" w:sz="0" w:space="0" w:color="auto"/>
            <w:left w:val="none" w:sz="0" w:space="0" w:color="auto"/>
            <w:bottom w:val="none" w:sz="0" w:space="0" w:color="auto"/>
            <w:right w:val="none" w:sz="0" w:space="0" w:color="auto"/>
          </w:divBdr>
        </w:div>
      </w:divsChild>
    </w:div>
    <w:div w:id="865366574">
      <w:bodyDiv w:val="1"/>
      <w:marLeft w:val="0"/>
      <w:marRight w:val="0"/>
      <w:marTop w:val="0"/>
      <w:marBottom w:val="0"/>
      <w:divBdr>
        <w:top w:val="none" w:sz="0" w:space="0" w:color="auto"/>
        <w:left w:val="none" w:sz="0" w:space="0" w:color="auto"/>
        <w:bottom w:val="none" w:sz="0" w:space="0" w:color="auto"/>
        <w:right w:val="none" w:sz="0" w:space="0" w:color="auto"/>
      </w:divBdr>
    </w:div>
    <w:div w:id="891959890">
      <w:bodyDiv w:val="1"/>
      <w:marLeft w:val="0"/>
      <w:marRight w:val="0"/>
      <w:marTop w:val="0"/>
      <w:marBottom w:val="0"/>
      <w:divBdr>
        <w:top w:val="none" w:sz="0" w:space="0" w:color="auto"/>
        <w:left w:val="none" w:sz="0" w:space="0" w:color="auto"/>
        <w:bottom w:val="none" w:sz="0" w:space="0" w:color="auto"/>
        <w:right w:val="none" w:sz="0" w:space="0" w:color="auto"/>
      </w:divBdr>
      <w:divsChild>
        <w:div w:id="2017271162">
          <w:marLeft w:val="274"/>
          <w:marRight w:val="0"/>
          <w:marTop w:val="0"/>
          <w:marBottom w:val="0"/>
          <w:divBdr>
            <w:top w:val="none" w:sz="0" w:space="0" w:color="auto"/>
            <w:left w:val="none" w:sz="0" w:space="0" w:color="auto"/>
            <w:bottom w:val="none" w:sz="0" w:space="0" w:color="auto"/>
            <w:right w:val="none" w:sz="0" w:space="0" w:color="auto"/>
          </w:divBdr>
        </w:div>
        <w:div w:id="1059210687">
          <w:marLeft w:val="274"/>
          <w:marRight w:val="0"/>
          <w:marTop w:val="0"/>
          <w:marBottom w:val="0"/>
          <w:divBdr>
            <w:top w:val="none" w:sz="0" w:space="0" w:color="auto"/>
            <w:left w:val="none" w:sz="0" w:space="0" w:color="auto"/>
            <w:bottom w:val="none" w:sz="0" w:space="0" w:color="auto"/>
            <w:right w:val="none" w:sz="0" w:space="0" w:color="auto"/>
          </w:divBdr>
        </w:div>
        <w:div w:id="607808443">
          <w:marLeft w:val="274"/>
          <w:marRight w:val="0"/>
          <w:marTop w:val="0"/>
          <w:marBottom w:val="0"/>
          <w:divBdr>
            <w:top w:val="none" w:sz="0" w:space="0" w:color="auto"/>
            <w:left w:val="none" w:sz="0" w:space="0" w:color="auto"/>
            <w:bottom w:val="none" w:sz="0" w:space="0" w:color="auto"/>
            <w:right w:val="none" w:sz="0" w:space="0" w:color="auto"/>
          </w:divBdr>
        </w:div>
        <w:div w:id="87654189">
          <w:marLeft w:val="274"/>
          <w:marRight w:val="0"/>
          <w:marTop w:val="0"/>
          <w:marBottom w:val="0"/>
          <w:divBdr>
            <w:top w:val="none" w:sz="0" w:space="0" w:color="auto"/>
            <w:left w:val="none" w:sz="0" w:space="0" w:color="auto"/>
            <w:bottom w:val="none" w:sz="0" w:space="0" w:color="auto"/>
            <w:right w:val="none" w:sz="0" w:space="0" w:color="auto"/>
          </w:divBdr>
        </w:div>
        <w:div w:id="182793865">
          <w:marLeft w:val="274"/>
          <w:marRight w:val="0"/>
          <w:marTop w:val="0"/>
          <w:marBottom w:val="0"/>
          <w:divBdr>
            <w:top w:val="none" w:sz="0" w:space="0" w:color="auto"/>
            <w:left w:val="none" w:sz="0" w:space="0" w:color="auto"/>
            <w:bottom w:val="none" w:sz="0" w:space="0" w:color="auto"/>
            <w:right w:val="none" w:sz="0" w:space="0" w:color="auto"/>
          </w:divBdr>
        </w:div>
      </w:divsChild>
    </w:div>
    <w:div w:id="1768576530">
      <w:bodyDiv w:val="1"/>
      <w:marLeft w:val="0"/>
      <w:marRight w:val="0"/>
      <w:marTop w:val="0"/>
      <w:marBottom w:val="0"/>
      <w:divBdr>
        <w:top w:val="none" w:sz="0" w:space="0" w:color="auto"/>
        <w:left w:val="none" w:sz="0" w:space="0" w:color="auto"/>
        <w:bottom w:val="none" w:sz="0" w:space="0" w:color="auto"/>
        <w:right w:val="none" w:sz="0" w:space="0" w:color="auto"/>
      </w:divBdr>
      <w:divsChild>
        <w:div w:id="848838808">
          <w:marLeft w:val="1987"/>
          <w:marRight w:val="0"/>
          <w:marTop w:val="0"/>
          <w:marBottom w:val="0"/>
          <w:divBdr>
            <w:top w:val="none" w:sz="0" w:space="0" w:color="auto"/>
            <w:left w:val="none" w:sz="0" w:space="0" w:color="auto"/>
            <w:bottom w:val="none" w:sz="0" w:space="0" w:color="auto"/>
            <w:right w:val="none" w:sz="0" w:space="0" w:color="auto"/>
          </w:divBdr>
        </w:div>
        <w:div w:id="972324818">
          <w:marLeft w:val="1987"/>
          <w:marRight w:val="0"/>
          <w:marTop w:val="0"/>
          <w:marBottom w:val="0"/>
          <w:divBdr>
            <w:top w:val="none" w:sz="0" w:space="0" w:color="auto"/>
            <w:left w:val="none" w:sz="0" w:space="0" w:color="auto"/>
            <w:bottom w:val="none" w:sz="0" w:space="0" w:color="auto"/>
            <w:right w:val="none" w:sz="0" w:space="0" w:color="auto"/>
          </w:divBdr>
        </w:div>
      </w:divsChild>
    </w:div>
    <w:div w:id="1859273013">
      <w:bodyDiv w:val="1"/>
      <w:marLeft w:val="0"/>
      <w:marRight w:val="0"/>
      <w:marTop w:val="0"/>
      <w:marBottom w:val="0"/>
      <w:divBdr>
        <w:top w:val="none" w:sz="0" w:space="0" w:color="auto"/>
        <w:left w:val="none" w:sz="0" w:space="0" w:color="auto"/>
        <w:bottom w:val="none" w:sz="0" w:space="0" w:color="auto"/>
        <w:right w:val="none" w:sz="0" w:space="0" w:color="auto"/>
      </w:divBdr>
    </w:div>
    <w:div w:id="1906067997">
      <w:bodyDiv w:val="1"/>
      <w:marLeft w:val="0"/>
      <w:marRight w:val="0"/>
      <w:marTop w:val="0"/>
      <w:marBottom w:val="0"/>
      <w:divBdr>
        <w:top w:val="none" w:sz="0" w:space="0" w:color="auto"/>
        <w:left w:val="none" w:sz="0" w:space="0" w:color="auto"/>
        <w:bottom w:val="none" w:sz="0" w:space="0" w:color="auto"/>
        <w:right w:val="none" w:sz="0" w:space="0" w:color="auto"/>
      </w:divBdr>
      <w:divsChild>
        <w:div w:id="2131392536">
          <w:marLeft w:val="1166"/>
          <w:marRight w:val="0"/>
          <w:marTop w:val="134"/>
          <w:marBottom w:val="0"/>
          <w:divBdr>
            <w:top w:val="none" w:sz="0" w:space="0" w:color="auto"/>
            <w:left w:val="none" w:sz="0" w:space="0" w:color="auto"/>
            <w:bottom w:val="none" w:sz="0" w:space="0" w:color="auto"/>
            <w:right w:val="none" w:sz="0" w:space="0" w:color="auto"/>
          </w:divBdr>
        </w:div>
        <w:div w:id="805388866">
          <w:marLeft w:val="1166"/>
          <w:marRight w:val="0"/>
          <w:marTop w:val="134"/>
          <w:marBottom w:val="0"/>
          <w:divBdr>
            <w:top w:val="none" w:sz="0" w:space="0" w:color="auto"/>
            <w:left w:val="none" w:sz="0" w:space="0" w:color="auto"/>
            <w:bottom w:val="none" w:sz="0" w:space="0" w:color="auto"/>
            <w:right w:val="none" w:sz="0" w:space="0" w:color="auto"/>
          </w:divBdr>
        </w:div>
      </w:divsChild>
    </w:div>
    <w:div w:id="2021275499">
      <w:bodyDiv w:val="1"/>
      <w:marLeft w:val="0"/>
      <w:marRight w:val="0"/>
      <w:marTop w:val="0"/>
      <w:marBottom w:val="0"/>
      <w:divBdr>
        <w:top w:val="none" w:sz="0" w:space="0" w:color="auto"/>
        <w:left w:val="none" w:sz="0" w:space="0" w:color="auto"/>
        <w:bottom w:val="none" w:sz="0" w:space="0" w:color="auto"/>
        <w:right w:val="none" w:sz="0" w:space="0" w:color="auto"/>
      </w:divBdr>
      <w:divsChild>
        <w:div w:id="1138916487">
          <w:marLeft w:val="1987"/>
          <w:marRight w:val="0"/>
          <w:marTop w:val="0"/>
          <w:marBottom w:val="0"/>
          <w:divBdr>
            <w:top w:val="none" w:sz="0" w:space="0" w:color="auto"/>
            <w:left w:val="none" w:sz="0" w:space="0" w:color="auto"/>
            <w:bottom w:val="none" w:sz="0" w:space="0" w:color="auto"/>
            <w:right w:val="none" w:sz="0" w:space="0" w:color="auto"/>
          </w:divBdr>
        </w:div>
        <w:div w:id="1577588015">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AA98-D4E9-4D5A-A7BD-D5729A86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Merlette, Sharon E</dc:creator>
  <cp:lastModifiedBy>Trisha Scardina</cp:lastModifiedBy>
  <cp:revision>2</cp:revision>
  <dcterms:created xsi:type="dcterms:W3CDTF">2016-05-24T10:45:00Z</dcterms:created>
  <dcterms:modified xsi:type="dcterms:W3CDTF">2016-05-24T10:45:00Z</dcterms:modified>
</cp:coreProperties>
</file>